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DF" w:rsidRPr="006776DF" w:rsidRDefault="007E22C0" w:rsidP="0050701C">
      <w:pPr>
        <w:rPr>
          <w:rFonts w:ascii="Lucida Handwriting" w:hAnsi="Lucida Handwriting"/>
          <w:color w:val="548DD4" w:themeColor="text2" w:themeTint="99"/>
          <w:sz w:val="28"/>
          <w:szCs w:val="28"/>
        </w:rPr>
      </w:pPr>
      <w:r w:rsidRPr="007E22C0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29" style="position:absolute;left:0;text-align:left;z-index:251661312" from="74.85pt,7.5pt" to="281.85pt,7.5pt" o:regroupid="1" strokeweight="4.5pt"/>
        </w:pict>
      </w:r>
      <w:r w:rsidR="001F31E4">
        <w:rPr>
          <w:rFonts w:ascii="Lucida Handwriting" w:hAnsi="Lucida Handwriting"/>
          <w:noProof/>
          <w:color w:val="548DD4" w:themeColor="text2" w:themeTint="99"/>
          <w:sz w:val="28"/>
          <w:szCs w:val="28"/>
          <w:lang w:eastAsia="fr-F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4445</wp:posOffset>
            </wp:positionH>
            <wp:positionV relativeFrom="margin">
              <wp:posOffset>80010</wp:posOffset>
            </wp:positionV>
            <wp:extent cx="952500" cy="1143000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0942" t="43710" r="22392" b="12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0D54" w:rsidRDefault="00C40D54" w:rsidP="00C40D54">
      <w:pPr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C40D54">
        <w:rPr>
          <w:rFonts w:ascii="Times New Roman" w:hAnsi="Times New Roman" w:cs="Times New Roman"/>
          <w:b/>
          <w:bCs/>
          <w:i/>
          <w:iCs/>
          <w:sz w:val="44"/>
          <w:szCs w:val="44"/>
        </w:rPr>
        <w:t>Les indices et les notations</w:t>
      </w:r>
    </w:p>
    <w:p w:rsidR="00C40D54" w:rsidRPr="00C40D54" w:rsidRDefault="00C40D54" w:rsidP="00C40D54">
      <w:pPr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C40D54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 les plus utilisées </w:t>
      </w:r>
    </w:p>
    <w:p w:rsidR="00C40D54" w:rsidRDefault="007E22C0" w:rsidP="0050701C">
      <w:pPr>
        <w:rPr>
          <w:rFonts w:ascii="Lucida Handwriting" w:hAnsi="Lucida Handwriting"/>
          <w:color w:val="548DD4" w:themeColor="text2" w:themeTint="99"/>
        </w:rPr>
      </w:pPr>
      <w:r w:rsidRPr="007E22C0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rect id="_x0000_s1030" style="position:absolute;left:0;text-align:left;margin-left:366.55pt;margin-top:10.25pt;width:108pt;height:27pt;z-index:251662336" o:regroupid="1" fillcolor="#d4dbb3" stroked="f"/>
        </w:pict>
      </w:r>
    </w:p>
    <w:p w:rsidR="0050701C" w:rsidRDefault="007E22C0" w:rsidP="0050701C">
      <w:pPr>
        <w:rPr>
          <w:rFonts w:ascii="Lucida Handwriting" w:hAnsi="Lucida Handwriting"/>
          <w:color w:val="548DD4" w:themeColor="text2" w:themeTint="99"/>
          <w:sz w:val="72"/>
          <w:szCs w:val="72"/>
        </w:rPr>
      </w:pP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31" style="position:absolute;left:0;text-align:left;z-index:251663360" from="227.85pt,9.3pt" to="484.85pt,9.3pt" o:regroupid="1" strokeweight="4.5pt"/>
        </w:pict>
      </w:r>
      <w:r w:rsidR="0050701C">
        <w:rPr>
          <w:rFonts w:ascii="Lucida Handwriting" w:hAnsi="Lucida Handwriting"/>
          <w:color w:val="548DD4" w:themeColor="text2" w:themeTint="99"/>
          <w:sz w:val="72"/>
          <w:szCs w:val="72"/>
        </w:rPr>
        <w:t xml:space="preserve">  </w:t>
      </w:r>
    </w:p>
    <w:tbl>
      <w:tblPr>
        <w:tblStyle w:val="Grilledutableau"/>
        <w:tblW w:w="0" w:type="auto"/>
        <w:tblLook w:val="04A0"/>
      </w:tblPr>
      <w:tblGrid>
        <w:gridCol w:w="1242"/>
        <w:gridCol w:w="8319"/>
      </w:tblGrid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A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Aire de la section transversale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a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> 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Aire de la section d’acier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c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> 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Aire de la section du béton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 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s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Aire de la section d’armature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w</m:t>
                  </m:r>
                </m:sub>
              </m:sSub>
              <m:r>
                <m:rPr>
                  <m:sty m:val="p"/>
                </m:rPr>
                <w:rPr>
                  <w:rFonts w:ascii="Cambria Math" w:hAnsiTheme="majorBidi" w:cstheme="majorBidi"/>
                  <w:sz w:val="24"/>
                  <w:szCs w:val="24"/>
                </w:rPr>
                <m:t xml:space="preserve"> </m:t>
              </m:r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Epaisseur de l’âme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f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 xml:space="preserve"> 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Epaisseur de la semelle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w:rPr>
                  <w:rFonts w:asciiTheme="majorBidi" w:hAnsi="Cambria Math" w:cstheme="majorBidi"/>
                  <w:sz w:val="24"/>
                  <w:szCs w:val="24"/>
                </w:rPr>
                <m:t>h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> 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La hauteur de la section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b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> 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La largeur de la section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Theme="majorBidi" w:cstheme="majorBidi"/>
                  <w:sz w:val="24"/>
                  <w:szCs w:val="24"/>
                </w:rPr>
                <m:t>I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4"/>
                  <w:szCs w:val="24"/>
                </w:rPr>
                <m:t> 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L’inertie de la section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Theme="majorBidi" w:cstheme="majorBidi"/>
                  <w:sz w:val="24"/>
                  <w:szCs w:val="24"/>
                </w:rPr>
                <m:t>D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> 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Diamètre de la section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d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Diamètre d’une barre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l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La longueur de flambement .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n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Position de l'axe</w:t>
            </w:r>
            <w:r w:rsidRPr="00041C5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neutre plastique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y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Valeur caractéristique de la limite d´élasticité de l´acier de construction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sk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> 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Valeur caractéristique de la limite d´élasticité de l´acier d´armature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ck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> 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Valeur caractéristique de la résistance à la compression du béton sur éprouvette cylindrique à 28 jours.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sd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L'effort de compression sollicitant de calcul. </w:t>
            </w:r>
            <w:r w:rsidRPr="00041C56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cr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La charge élastique critique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pl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.</m:t>
                  </m:r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Rd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Valeur de calcul de la résistance plastique en compression axiale .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pl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.</m:t>
                  </m:r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Rd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La résistance plastique à l’effort tranchant.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pm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.</m:t>
                  </m:r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Rd</m:t>
                  </m:r>
                </m:sub>
              </m:sSub>
              <m:r>
                <w:rPr>
                  <w:rFonts w:ascii="Cambria Math" w:hAnsiTheme="majorBidi" w:cstheme="majorBidi"/>
                  <w:sz w:val="24"/>
                  <w:szCs w:val="24"/>
                </w:rPr>
                <m:t xml:space="preserve"> </m:t>
              </m:r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La résistance à la compression de la totalité de l'aire de béton.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pl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.</m:t>
                  </m:r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Rd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Le moment de résistance plastique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max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..</m:t>
                  </m:r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Rd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Le moment résistant maximum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w:rPr>
                  <w:rFonts w:ascii="Cambria Math" w:hAnsiTheme="majorBidi" w:cstheme="majorBidi"/>
                  <w:sz w:val="24"/>
                  <w:szCs w:val="24"/>
                </w:rPr>
                <m:t>(</m:t>
              </m:r>
              <m:r>
                <w:rPr>
                  <w:rFonts w:ascii="Cambria Math" w:hAnsi="Cambria Math" w:cstheme="majorBidi"/>
                  <w:sz w:val="24"/>
                  <w:szCs w:val="24"/>
                </w:rPr>
                <m:t>EI</m:t>
              </m:r>
              <m:r>
                <w:rPr>
                  <w:rFonts w:ascii="Cambria Math" w:hAnsiTheme="majorBidi" w:cstheme="majorBidi"/>
                  <w:sz w:val="24"/>
                  <w:szCs w:val="24"/>
                </w:rPr>
                <m:t>)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</w:tcPr>
          <w:p w:rsidR="00C40D54" w:rsidRPr="00041C56" w:rsidRDefault="00C40D54" w:rsidP="00DA0DCC">
            <w:pPr>
              <w:spacing w:before="30" w:after="4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La rigidité du poteau mixte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a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Module d’élasticité de l’acier de construction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s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Module d’élasticité de l’acier d´armature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cd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> 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Module d'élasticité de calcul de la parti en béton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cm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Le module sécant du béton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pa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Le module de résistance plastique de l’acier de construction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ps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Le module de résistance plastique de l’acier d´armature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pc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Le module de résistance plastique du béton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pl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.</m:t>
                  </m:r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an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 xml:space="preserve"> 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Modules plastique de l’acier de construction dans le domaine de hauteur </w:t>
            </w: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2h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n</m:t>
                  </m:r>
                </m:sub>
              </m:sSub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pl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.</m:t>
                  </m:r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sn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 xml:space="preserve"> 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Modules plastique de l’acier d´armature dans le domaine de hauteur </w:t>
            </w: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2h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Theme="majorBidi" w:cstheme="majorBidi"/>
                  <w:sz w:val="24"/>
                  <w:szCs w:val="24"/>
                </w:rPr>
                <m:t xml:space="preserve"> </m:t>
              </m:r>
            </m:oMath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pl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>.</m:t>
                  </m:r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cn</m:t>
                  </m:r>
                  <m:r>
                    <w:rPr>
                      <w:rFonts w:ascii="Cambria Math" w:hAnsiTheme="majorBidi" w:cstheme="majorBidi"/>
                      <w:sz w:val="24"/>
                      <w:szCs w:val="24"/>
                    </w:rPr>
                    <m:t xml:space="preserve"> 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Modules plastique du béton dans le domaine de hauteur </w:t>
            </w: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2h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n</m:t>
                  </m:r>
                </m:sub>
              </m:sSub>
            </m:oMath>
            <w:r w:rsidRPr="00041C56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MA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Coefficient partiel de sécurité de l´acier de construction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s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Coefficient partiel de sécurité de l´acier d´armature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c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Coefficient partiel de sécurité du béton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η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Coefficients d'équivalence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Theme="majorBidi" w:cstheme="majorBidi"/>
                  <w:sz w:val="24"/>
                  <w:szCs w:val="24"/>
                </w:rPr>
                <m:t>e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Excentricité de charge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r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Le rapport des moments de flexion existant aux extrémités du poteau  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K</m:t>
              </m:r>
            </m:oMath>
            <w:r w:rsidRPr="00041C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 </w:t>
            </w:r>
            <w:r w:rsidRPr="00041C5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facteur de correction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β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> 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facteur de moment équivalent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41C56">
              <w:rPr>
                <w:rFonts w:asciiTheme="majorBidi" w:eastAsiaTheme="minorHAnsi" w:hAnsiTheme="majorBidi" w:cstheme="majorBidi"/>
                <w:position w:val="-6"/>
                <w:sz w:val="24"/>
                <w:szCs w:val="24"/>
                <w:lang w:eastAsia="en-US"/>
              </w:rPr>
              <w:object w:dxaOrig="2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75pt;height:15.05pt" o:ole="">
                  <v:imagedata r:id="rId8" o:title=""/>
                </v:shape>
                <o:OLEObject Type="Embed" ProgID="Equation.3" ShapeID="_x0000_i1025" DrawAspect="Content" ObjectID="_1400940915" r:id="rId9"/>
              </w:object>
            </w:r>
            <w:r w:rsidRPr="00041C5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Elancement réduit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Theme="majorBidi" w:cstheme="majorBidi"/>
                  <w:sz w:val="24"/>
                  <w:szCs w:val="24"/>
                </w:rPr>
                <m:t>χ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 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Coefficient de réduction de flambement.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7E22C0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Theme="majorBidi" w:cstheme="majorBidi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sz w:val="24"/>
                      <w:szCs w:val="24"/>
                    </w:rPr>
                    <m:t>d</m:t>
                  </m:r>
                </m:sub>
              </m:sSub>
            </m:oMath>
            <w:r w:rsidR="00C40D54"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Le paramètre représentant la sollicitation axiale.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α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  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>paramètre d’imperfection généralisée</w:t>
            </w:r>
          </w:p>
        </w:tc>
      </w:tr>
      <w:tr w:rsidR="00C40D54" w:rsidRPr="00041C56" w:rsidTr="007A6D6E">
        <w:trPr>
          <w:trHeight w:val="227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spacing w:before="30" w:after="40" w:line="36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ϕ</m:t>
              </m:r>
              <m:r>
                <w:rPr>
                  <w:rFonts w:ascii="Cambria Math" w:hAnsiTheme="majorBidi" w:cstheme="majorBidi"/>
                  <w:sz w:val="24"/>
                  <w:szCs w:val="24"/>
                </w:rPr>
                <m:t xml:space="preserve"> </m:t>
              </m:r>
            </m:oMath>
            <w:r w:rsidRPr="00041C5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</w:tcPr>
          <w:p w:rsidR="00C40D54" w:rsidRPr="00041C56" w:rsidRDefault="00C40D54" w:rsidP="00DA0DCC">
            <w:pPr>
              <w:autoSpaceDE w:val="0"/>
              <w:autoSpaceDN w:val="0"/>
              <w:adjustRightInd w:val="0"/>
              <w:spacing w:before="30" w:after="40"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1C56">
              <w:rPr>
                <w:rFonts w:asciiTheme="majorBidi" w:hAnsiTheme="majorBidi" w:cstheme="majorBidi"/>
                <w:sz w:val="24"/>
                <w:szCs w:val="24"/>
              </w:rPr>
              <w:t xml:space="preserve">Coefficients et facteurs de réduction ou de correction  </w:t>
            </w:r>
          </w:p>
        </w:tc>
      </w:tr>
    </w:tbl>
    <w:p w:rsidR="00B924C9" w:rsidRPr="00583C65" w:rsidRDefault="00B924C9" w:rsidP="00051305">
      <w:pPr>
        <w:tabs>
          <w:tab w:val="left" w:pos="3976"/>
        </w:tabs>
        <w:rPr>
          <w:rFonts w:ascii="Lucida Handwriting" w:hAnsi="Lucida Handwriting"/>
          <w:sz w:val="20"/>
          <w:szCs w:val="20"/>
        </w:rPr>
      </w:pPr>
    </w:p>
    <w:sectPr w:rsidR="00B924C9" w:rsidRPr="00583C65" w:rsidSect="00262210">
      <w:footerReference w:type="default" r:id="rId10"/>
      <w:pgSz w:w="11906" w:h="16838"/>
      <w:pgMar w:top="1134" w:right="1134" w:bottom="1134" w:left="1418" w:header="709" w:footer="709" w:gutter="0"/>
      <w:pgNumType w:fmt="upperRoman"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3F1" w:rsidRDefault="00CF73F1" w:rsidP="00FE7F2E">
      <w:r>
        <w:separator/>
      </w:r>
    </w:p>
  </w:endnote>
  <w:endnote w:type="continuationSeparator" w:id="1">
    <w:p w:rsidR="00CF73F1" w:rsidRDefault="00CF73F1" w:rsidP="00FE7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71314771"/>
      <w:docPartObj>
        <w:docPartGallery w:val="Page Numbers (Bottom of Page)"/>
        <w:docPartUnique/>
      </w:docPartObj>
    </w:sdtPr>
    <w:sdtContent>
      <w:p w:rsidR="00FE7F2E" w:rsidRDefault="00FE7F2E">
        <w:pPr>
          <w:pStyle w:val="Pieddepage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~ </w:t>
        </w:r>
        <w:fldSimple w:instr=" PAGE    \* MERGEFORMAT ">
          <w:r w:rsidR="00262210" w:rsidRPr="00262210">
            <w:rPr>
              <w:rFonts w:asciiTheme="majorHAnsi" w:hAnsiTheme="majorHAnsi"/>
              <w:noProof/>
              <w:sz w:val="28"/>
              <w:szCs w:val="28"/>
            </w:rPr>
            <w:t>X</w:t>
          </w:r>
        </w:fldSimple>
        <w:r>
          <w:rPr>
            <w:rFonts w:asciiTheme="majorHAnsi" w:hAnsiTheme="majorHAnsi"/>
            <w:sz w:val="28"/>
            <w:szCs w:val="28"/>
          </w:rPr>
          <w:t xml:space="preserve"> ~</w:t>
        </w:r>
      </w:p>
    </w:sdtContent>
  </w:sdt>
  <w:p w:rsidR="00FE7F2E" w:rsidRDefault="00FE7F2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3F1" w:rsidRDefault="00CF73F1" w:rsidP="00FE7F2E">
      <w:r>
        <w:separator/>
      </w:r>
    </w:p>
  </w:footnote>
  <w:footnote w:type="continuationSeparator" w:id="1">
    <w:p w:rsidR="00CF73F1" w:rsidRDefault="00CF73F1" w:rsidP="00FE7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701C"/>
    <w:rsid w:val="000218E9"/>
    <w:rsid w:val="00051305"/>
    <w:rsid w:val="000646CB"/>
    <w:rsid w:val="0016775F"/>
    <w:rsid w:val="00193BB7"/>
    <w:rsid w:val="001A42D3"/>
    <w:rsid w:val="001F044A"/>
    <w:rsid w:val="001F18C4"/>
    <w:rsid w:val="001F31E4"/>
    <w:rsid w:val="00223848"/>
    <w:rsid w:val="0023268E"/>
    <w:rsid w:val="00262210"/>
    <w:rsid w:val="004322FC"/>
    <w:rsid w:val="0050701C"/>
    <w:rsid w:val="005435A2"/>
    <w:rsid w:val="00583C65"/>
    <w:rsid w:val="006776DF"/>
    <w:rsid w:val="006C7BB9"/>
    <w:rsid w:val="006E1BF6"/>
    <w:rsid w:val="007A38F6"/>
    <w:rsid w:val="007E22C0"/>
    <w:rsid w:val="00891499"/>
    <w:rsid w:val="008D040D"/>
    <w:rsid w:val="008F2FE3"/>
    <w:rsid w:val="00984CA4"/>
    <w:rsid w:val="00A26E16"/>
    <w:rsid w:val="00AB4459"/>
    <w:rsid w:val="00B80528"/>
    <w:rsid w:val="00B924C9"/>
    <w:rsid w:val="00BA0C44"/>
    <w:rsid w:val="00BB41E3"/>
    <w:rsid w:val="00BE6499"/>
    <w:rsid w:val="00C11B13"/>
    <w:rsid w:val="00C40D54"/>
    <w:rsid w:val="00CF73F1"/>
    <w:rsid w:val="00DA0DCC"/>
    <w:rsid w:val="00DC4285"/>
    <w:rsid w:val="00E40C8C"/>
    <w:rsid w:val="00E53CEF"/>
    <w:rsid w:val="00FE7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3213]" strokecolor="none [3213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70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16775F"/>
    <w:pPr>
      <w:jc w:val="left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6775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75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FE7F2E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E7F2E"/>
  </w:style>
  <w:style w:type="paragraph" w:styleId="Pieddepage">
    <w:name w:val="footer"/>
    <w:basedOn w:val="Normal"/>
    <w:link w:val="PieddepageCar"/>
    <w:uiPriority w:val="99"/>
    <w:unhideWhenUsed/>
    <w:rsid w:val="00FE7F2E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E7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00B5F-D720-4F3D-9BD2-4ACF285C7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402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15</cp:revision>
  <cp:lastPrinted>2012-06-11T06:51:00Z</cp:lastPrinted>
  <dcterms:created xsi:type="dcterms:W3CDTF">2012-05-31T14:18:00Z</dcterms:created>
  <dcterms:modified xsi:type="dcterms:W3CDTF">2012-06-11T15:29:00Z</dcterms:modified>
</cp:coreProperties>
</file>